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hint="eastAsia" w:ascii="微软雅黑" w:hAnsi="微软雅黑" w:eastAsia="微软雅黑"/>
          <w:sz w:val="44"/>
          <w:lang w:eastAsia="zh-CN"/>
        </w:rPr>
      </w:pPr>
      <w:r>
        <w:rPr>
          <w:rFonts w:hint="eastAsia" w:ascii="方正大标宋简体" w:hAnsi="方正大标宋简体" w:eastAsia="方正大标宋简体" w:cs="方正大标宋简体"/>
          <w:sz w:val="44"/>
          <w:lang w:eastAsia="zh-CN"/>
        </w:rPr>
        <w:t>关于组织参加</w:t>
      </w:r>
      <w:r>
        <w:rPr>
          <w:rFonts w:hint="eastAsia" w:ascii="方正大标宋简体" w:hAnsi="方正大标宋简体" w:eastAsia="方正大标宋简体" w:cs="方正大标宋简体"/>
          <w:sz w:val="44"/>
        </w:rPr>
        <w:t>济南高层次人才招引大会报名系统单位填报</w:t>
      </w:r>
      <w:r>
        <w:rPr>
          <w:rFonts w:hint="eastAsia" w:ascii="方正大标宋简体" w:hAnsi="方正大标宋简体" w:eastAsia="方正大标宋简体" w:cs="方正大标宋简体"/>
          <w:sz w:val="44"/>
          <w:lang w:eastAsia="zh-CN"/>
        </w:rPr>
        <w:t>的通知</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b/>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bookmarkStart w:id="0" w:name="_GoBack"/>
      <w:r>
        <w:rPr>
          <w:rFonts w:hint="eastAsia" w:ascii="仿宋_GB2312" w:hAnsi="仿宋_GB2312" w:eastAsia="仿宋_GB2312" w:cs="仿宋_GB2312"/>
          <w:sz w:val="32"/>
          <w:szCs w:val="32"/>
          <w:lang w:val="en-US" w:eastAsia="zh-CN"/>
        </w:rPr>
        <w:t>各会员单位：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持续加大物流与交通运输领域青年人才及高层次人才招引力度，深入贯彻落实人才强省会战略，赋能全省物流与交通运输行业转型升级，将于2026年3月20日在山东国际会展中心举办“天下泉城聚天下英才”中国・济南第五届高层次人才招引大会。山东省物流与交通运输协会现组织有用人需求的会员单位报名参会，</w:t>
      </w:r>
      <w:bookmarkEnd w:id="0"/>
      <w:r>
        <w:rPr>
          <w:rFonts w:hint="eastAsia" w:ascii="仿宋_GB2312" w:hAnsi="仿宋_GB2312" w:eastAsia="仿宋_GB2312" w:cs="仿宋_GB2312"/>
          <w:sz w:val="32"/>
          <w:szCs w:val="32"/>
          <w:lang w:val="en-US" w:eastAsia="zh-CN"/>
        </w:rPr>
        <w:t>现将具体报名要求通知如下：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一、时间地址</w:t>
      </w:r>
    </w:p>
    <w:p>
      <w:pPr>
        <w:keepNext w:val="0"/>
        <w:keepLines w:val="0"/>
        <w:widowControl/>
        <w:suppressLineNumbers w:val="0"/>
        <w:ind w:firstLine="640" w:firstLineChars="200"/>
        <w:jc w:val="left"/>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1.报名截止时间：2026年2月14日（请各意向单位务必在规定时间内完成线上报名，逾期将无法参加，大会不收取用人单位任何费用，请有意向参会的单位及时报名）。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2.展会时间：2026年3月20日（星期五）9:00-17:00</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3.地址：山东国际会展中心（济南市槐荫区日照路1号）2号馆、3号馆、4号馆、5号馆</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4.主办方将对报名信息进行审核，审核通过后安排展位。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5.报名后，电话保持畅通，主办方将通过系统预留的联系方式通知确认参会信息，请收到确认电话或短信时，并及时回复。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6.审核通过单位须按时签到参会，遵守大会各项规定。</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黑体" w:hAnsi="黑体" w:eastAsia="黑体" w:cs="黑体"/>
          <w:bCs/>
          <w:sz w:val="32"/>
          <w:szCs w:val="32"/>
        </w:rPr>
      </w:pPr>
      <w:r>
        <w:rPr>
          <w:rFonts w:hint="eastAsia" w:ascii="黑体" w:hAnsi="黑体" w:eastAsia="黑体" w:cs="黑体"/>
          <w:bCs/>
          <w:sz w:val="32"/>
          <w:szCs w:val="32"/>
          <w:lang w:eastAsia="zh-CN"/>
        </w:rPr>
        <w:t>二</w:t>
      </w:r>
      <w:r>
        <w:rPr>
          <w:rFonts w:hint="eastAsia" w:ascii="黑体" w:hAnsi="黑体" w:eastAsia="黑体" w:cs="黑体"/>
          <w:bCs/>
          <w:sz w:val="32"/>
          <w:szCs w:val="32"/>
        </w:rPr>
        <w:t>、系统入口</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单位报名链接地址如下：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"https://rc.jinan.gov.cn/" </w:instrText>
      </w:r>
      <w:r>
        <w:rPr>
          <w:rFonts w:hint="eastAsia" w:ascii="仿宋_GB2312" w:hAnsi="仿宋_GB2312" w:eastAsia="仿宋_GB2312" w:cs="仿宋_GB2312"/>
          <w:color w:val="auto"/>
          <w:sz w:val="32"/>
          <w:szCs w:val="32"/>
        </w:rPr>
        <w:fldChar w:fldCharType="separate"/>
      </w:r>
      <w:r>
        <w:rPr>
          <w:rStyle w:val="7"/>
          <w:rFonts w:hint="eastAsia" w:ascii="仿宋_GB2312" w:hAnsi="仿宋_GB2312" w:eastAsia="仿宋_GB2312" w:cs="仿宋_GB2312"/>
          <w:color w:val="auto"/>
          <w:sz w:val="32"/>
          <w:szCs w:val="32"/>
        </w:rPr>
        <w:t>https://rc.jinan.gov.cn/</w:t>
      </w:r>
      <w:r>
        <w:rPr>
          <w:rFonts w:hint="eastAsia" w:ascii="仿宋_GB2312" w:hAnsi="仿宋_GB2312" w:eastAsia="仿宋_GB2312" w:cs="仿宋_GB2312"/>
          <w:color w:val="auto"/>
          <w:sz w:val="32"/>
          <w:szCs w:val="32"/>
        </w:rPr>
        <w:fldChar w:fldCharType="end"/>
      </w:r>
    </w:p>
    <w:p>
      <w:pPr>
        <w:spacing w:after="0" w:afterLines="0" w:line="520" w:lineRule="exact"/>
        <w:ind w:firstLine="640" w:firstLineChars="200"/>
        <w:rPr>
          <w:rFonts w:hint="eastAsia" w:ascii="仿宋_GB2312" w:hAnsi="仿宋_GB2312" w:eastAsia="仿宋_GB2312" w:cs="仿宋_GB2312"/>
          <w:snapToGrid/>
          <w:kern w:val="2"/>
          <w:sz w:val="32"/>
          <w:szCs w:val="32"/>
          <w:lang w:val="en-US" w:eastAsia="zh-CN"/>
        </w:rPr>
      </w:pPr>
      <w:r>
        <w:rPr>
          <w:rFonts w:hint="eastAsia" w:ascii="仿宋_GB2312" w:hAnsi="仿宋_GB2312" w:eastAsia="仿宋_GB2312" w:cs="仿宋_GB2312"/>
          <w:snapToGrid/>
          <w:kern w:val="2"/>
          <w:sz w:val="32"/>
          <w:szCs w:val="32"/>
          <w:lang w:val="en-US" w:eastAsia="zh-CN"/>
        </w:rPr>
        <w:t>单位</w:t>
      </w:r>
      <w:r>
        <w:rPr>
          <w:rFonts w:hint="eastAsia" w:ascii="仿宋_GB2312" w:hAnsi="仿宋_GB2312" w:eastAsia="仿宋_GB2312" w:cs="仿宋_GB2312"/>
          <w:snapToGrid/>
          <w:kern w:val="2"/>
          <w:sz w:val="32"/>
          <w:szCs w:val="32"/>
        </w:rPr>
        <w:t>用户在浏览器输入济南人才网地址，</w:t>
      </w:r>
      <w:r>
        <w:rPr>
          <w:rFonts w:hint="eastAsia" w:ascii="仿宋_GB2312" w:hAnsi="仿宋_GB2312" w:eastAsia="仿宋_GB2312" w:cs="仿宋_GB2312"/>
          <w:snapToGrid/>
          <w:kern w:val="2"/>
          <w:sz w:val="32"/>
          <w:szCs w:val="32"/>
          <w:lang w:val="en-US" w:eastAsia="zh-CN"/>
        </w:rPr>
        <w:t>点击单位用户。</w:t>
      </w:r>
    </w:p>
    <w:p>
      <w:pPr>
        <w:spacing w:after="120"/>
        <w:ind w:left="0" w:leftChars="0" w:firstLine="0" w:firstLineChars="0"/>
        <w:jc w:val="center"/>
      </w:pPr>
      <w:r>
        <w:drawing>
          <wp:inline distT="0" distB="0" distL="114300" distR="114300">
            <wp:extent cx="5589905" cy="3213735"/>
            <wp:effectExtent l="0" t="0" r="10795" b="571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
                    <a:stretch>
                      <a:fillRect/>
                    </a:stretch>
                  </pic:blipFill>
                  <pic:spPr>
                    <a:xfrm>
                      <a:off x="0" y="0"/>
                      <a:ext cx="5589905" cy="3213735"/>
                    </a:xfrm>
                    <a:prstGeom prst="rect">
                      <a:avLst/>
                    </a:prstGeom>
                    <a:noFill/>
                    <a:ln>
                      <a:noFill/>
                    </a:ln>
                  </pic:spPr>
                </pic:pic>
              </a:graphicData>
            </a:graphic>
          </wp:inline>
        </w:drawing>
      </w:r>
    </w:p>
    <w:p>
      <w:pPr>
        <w:spacing w:after="0" w:afterLines="0" w:line="520" w:lineRule="exact"/>
        <w:ind w:firstLine="640" w:firstLineChars="200"/>
        <w:rPr>
          <w:rFonts w:hint="default" w:ascii="仿宋" w:hAnsi="仿宋" w:eastAsia="仿宋" w:cs="仿宋"/>
          <w:snapToGrid/>
          <w:kern w:val="2"/>
          <w:sz w:val="32"/>
          <w:szCs w:val="32"/>
          <w:lang w:val="en-US" w:eastAsia="zh-CN"/>
        </w:rPr>
      </w:pPr>
      <w:r>
        <w:rPr>
          <w:rFonts w:hint="eastAsia" w:ascii="仿宋_GB2312" w:hAnsi="仿宋_GB2312" w:eastAsia="仿宋_GB2312" w:cs="仿宋_GB2312"/>
          <w:sz w:val="32"/>
          <w:szCs w:val="32"/>
          <w:lang w:val="en-US" w:eastAsia="zh-CN"/>
        </w:rPr>
        <w:t>跳转到山东省统一身份认证平台后，点击法人登录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用账号密码进行登录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未注册过的需要重新注册再登录</w:t>
      </w:r>
      <w:r>
        <w:rPr>
          <w:rFonts w:hint="eastAsia" w:ascii="仿宋" w:hAnsi="仿宋" w:eastAsia="仿宋" w:cs="仿宋"/>
          <w:snapToGrid/>
          <w:kern w:val="2"/>
          <w:sz w:val="32"/>
          <w:szCs w:val="32"/>
          <w:lang w:val="en-US" w:eastAsia="zh-CN"/>
        </w:rPr>
        <w:t>（</w:t>
      </w:r>
      <w:r>
        <w:rPr>
          <w:rFonts w:hint="eastAsia" w:ascii="仿宋" w:hAnsi="仿宋" w:eastAsia="仿宋" w:cs="仿宋"/>
          <w:snapToGrid/>
          <w:color w:val="FF0000"/>
          <w:kern w:val="2"/>
          <w:sz w:val="32"/>
          <w:szCs w:val="32"/>
          <w:lang w:val="en-US" w:eastAsia="zh-CN"/>
        </w:rPr>
        <w:t>原济南人才网账号密码失效</w:t>
      </w:r>
      <w:r>
        <w:rPr>
          <w:rFonts w:hint="eastAsia" w:ascii="仿宋" w:hAnsi="仿宋" w:eastAsia="仿宋" w:cs="仿宋"/>
          <w:snapToGrid/>
          <w:kern w:val="2"/>
          <w:sz w:val="32"/>
          <w:szCs w:val="32"/>
          <w:lang w:val="en-US" w:eastAsia="zh-CN"/>
        </w:rPr>
        <w:t>）。</w:t>
      </w:r>
    </w:p>
    <w:p>
      <w:r>
        <w:drawing>
          <wp:inline distT="0" distB="0" distL="114300" distR="114300">
            <wp:extent cx="5584190" cy="2945130"/>
            <wp:effectExtent l="0" t="0" r="381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
                    <a:stretch>
                      <a:fillRect/>
                    </a:stretch>
                  </pic:blipFill>
                  <pic:spPr>
                    <a:xfrm>
                      <a:off x="0" y="0"/>
                      <a:ext cx="5584190" cy="2945130"/>
                    </a:xfrm>
                    <a:prstGeom prst="rect">
                      <a:avLst/>
                    </a:prstGeom>
                    <a:noFill/>
                    <a:ln>
                      <a:noFill/>
                    </a:ln>
                  </pic:spPr>
                </pic:pic>
              </a:graphicData>
            </a:graphic>
          </wp:inline>
        </w:drawing>
      </w:r>
    </w:p>
    <w:p>
      <w:pPr>
        <w:spacing w:after="0" w:afterLines="0" w:line="52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成功后在申办事项推送点击“更多”，在打开的页面找到“高层次人才招引大会”，点击进入详情，点击“点击申报”按钮。登录跳转成功后会跳转到济南高层次人才招引大会报名系统，右上角显示账号的单位名称，如下图所示：</w:t>
      </w:r>
    </w:p>
    <w:p>
      <w:r>
        <w:drawing>
          <wp:inline distT="0" distB="0" distL="114300" distR="114300">
            <wp:extent cx="5615305" cy="4852670"/>
            <wp:effectExtent l="0" t="0" r="4445"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
                    <a:stretch>
                      <a:fillRect/>
                    </a:stretch>
                  </pic:blipFill>
                  <pic:spPr>
                    <a:xfrm>
                      <a:off x="0" y="0"/>
                      <a:ext cx="5615305" cy="4852670"/>
                    </a:xfrm>
                    <a:prstGeom prst="rect">
                      <a:avLst/>
                    </a:prstGeom>
                    <a:noFill/>
                    <a:ln>
                      <a:noFill/>
                    </a:ln>
                  </pic:spPr>
                </pic:pic>
              </a:graphicData>
            </a:graphic>
          </wp:inline>
        </w:drawing>
      </w:r>
    </w:p>
    <w:p>
      <w:r>
        <w:drawing>
          <wp:inline distT="0" distB="0" distL="114300" distR="114300">
            <wp:extent cx="5608955" cy="3348355"/>
            <wp:effectExtent l="0" t="0" r="10795"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7"/>
                    <a:stretch>
                      <a:fillRect/>
                    </a:stretch>
                  </pic:blipFill>
                  <pic:spPr>
                    <a:xfrm>
                      <a:off x="0" y="0"/>
                      <a:ext cx="5608955" cy="3348355"/>
                    </a:xfrm>
                    <a:prstGeom prst="rect">
                      <a:avLst/>
                    </a:prstGeom>
                    <a:noFill/>
                    <a:ln>
                      <a:noFill/>
                    </a:ln>
                  </pic:spPr>
                </pic:pic>
              </a:graphicData>
            </a:graphic>
          </wp:inline>
        </w:drawing>
      </w:r>
    </w:p>
    <w:p>
      <w:pPr>
        <w:rPr>
          <w:rFonts w:hint="default"/>
          <w:lang w:val="en-US" w:eastAsia="zh-CN"/>
        </w:rPr>
      </w:pPr>
      <w:r>
        <w:drawing>
          <wp:inline distT="0" distB="0" distL="114300" distR="114300">
            <wp:extent cx="5600700" cy="2599055"/>
            <wp:effectExtent l="0" t="0" r="0" b="44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8"/>
                    <a:stretch>
                      <a:fillRect/>
                    </a:stretch>
                  </pic:blipFill>
                  <pic:spPr>
                    <a:xfrm>
                      <a:off x="0" y="0"/>
                      <a:ext cx="5600700" cy="2599055"/>
                    </a:xfrm>
                    <a:prstGeom prst="rect">
                      <a:avLst/>
                    </a:prstGeom>
                    <a:noFill/>
                    <a:ln>
                      <a:noFill/>
                    </a:ln>
                  </pic:spPr>
                </pic:pic>
              </a:graphicData>
            </a:graphic>
          </wp:inline>
        </w:drawing>
      </w:r>
    </w:p>
    <w:p>
      <w:r>
        <w:drawing>
          <wp:inline distT="0" distB="0" distL="114300" distR="114300">
            <wp:extent cx="5510530" cy="25844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510530" cy="2584450"/>
                    </a:xfrm>
                    <a:prstGeom prst="rect">
                      <a:avLst/>
                    </a:prstGeom>
                    <a:noFill/>
                    <a:ln>
                      <a:noFill/>
                    </a:ln>
                  </pic:spPr>
                </pic:pic>
              </a:graphicData>
            </a:graphic>
          </wp:inline>
        </w:drawing>
      </w:r>
    </w:p>
    <w:p>
      <w:pPr>
        <w:numPr>
          <w:ilvl w:val="0"/>
          <w:numId w:val="0"/>
        </w:numPr>
        <w:spacing w:line="600" w:lineRule="exact"/>
        <w:ind w:firstLine="640" w:firstLineChars="200"/>
        <w:rPr>
          <w:rFonts w:ascii="黑体" w:hAnsi="黑体" w:eastAsia="黑体" w:cs="黑体"/>
          <w:bCs/>
          <w:sz w:val="32"/>
          <w:szCs w:val="32"/>
        </w:rPr>
      </w:pPr>
      <w:r>
        <w:rPr>
          <w:rFonts w:hint="eastAsia" w:ascii="黑体" w:hAnsi="黑体" w:eastAsia="黑体" w:cs="黑体"/>
          <w:bCs/>
          <w:kern w:val="2"/>
          <w:sz w:val="32"/>
          <w:szCs w:val="32"/>
          <w:lang w:val="en-US" w:eastAsia="zh-CN" w:bidi="ar-SA"/>
        </w:rPr>
        <w:t>三、</w:t>
      </w:r>
      <w:r>
        <w:rPr>
          <w:rFonts w:hint="eastAsia" w:ascii="黑体" w:hAnsi="黑体" w:eastAsia="黑体" w:cs="黑体"/>
          <w:bCs/>
          <w:sz w:val="32"/>
          <w:szCs w:val="32"/>
        </w:rPr>
        <w:t>岗位提报</w:t>
      </w:r>
    </w:p>
    <w:p>
      <w:pPr>
        <w:spacing w:after="0" w:afterLines="0"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点击岗位提报菜单，展现如下页面：</w:t>
      </w:r>
    </w:p>
    <w:p>
      <w:pPr>
        <w:jc w:val="center"/>
      </w:pPr>
      <w:r>
        <w:drawing>
          <wp:inline distT="0" distB="0" distL="114300" distR="114300">
            <wp:extent cx="4772660" cy="2116455"/>
            <wp:effectExtent l="0" t="0" r="889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772660" cy="2116455"/>
                    </a:xfrm>
                    <a:prstGeom prst="rect">
                      <a:avLst/>
                    </a:prstGeom>
                    <a:noFill/>
                    <a:ln>
                      <a:noFill/>
                    </a:ln>
                  </pic:spPr>
                </pic:pic>
              </a:graphicData>
            </a:graphic>
          </wp:inline>
        </w:drawing>
      </w:r>
    </w:p>
    <w:p>
      <w:pPr>
        <w:spacing w:line="600" w:lineRule="exact"/>
        <w:ind w:firstLine="640" w:firstLineChars="200"/>
        <w:rPr>
          <w:rFonts w:ascii="楷体" w:hAnsi="楷体" w:eastAsia="楷体"/>
          <w:sz w:val="32"/>
        </w:rPr>
      </w:pPr>
      <w:r>
        <w:rPr>
          <w:rFonts w:hint="eastAsia" w:ascii="楷体" w:hAnsi="楷体" w:eastAsia="楷体"/>
          <w:sz w:val="32"/>
        </w:rPr>
        <w:t>（一）单位信息维护</w:t>
      </w:r>
    </w:p>
    <w:p>
      <w:pPr>
        <w:spacing w:after="0" w:afterLines="0" w:line="52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在单位信息区域，点击右上角的展开，如下图所示：</w:t>
      </w:r>
    </w:p>
    <w:p>
      <w:r>
        <w:drawing>
          <wp:inline distT="0" distB="0" distL="114300" distR="114300">
            <wp:extent cx="5509895" cy="654050"/>
            <wp:effectExtent l="0" t="0" r="698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509895" cy="654050"/>
                    </a:xfrm>
                    <a:prstGeom prst="rect">
                      <a:avLst/>
                    </a:prstGeom>
                    <a:noFill/>
                    <a:ln>
                      <a:noFill/>
                    </a:ln>
                  </pic:spPr>
                </pic:pic>
              </a:graphicData>
            </a:graphic>
          </wp:inline>
        </w:drawing>
      </w:r>
    </w:p>
    <w:p>
      <w:pPr>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单位名称是在海右平台注册时的企业信息，不可修改；其余带有</w:t>
      </w:r>
      <w:r>
        <w:rPr>
          <w:rFonts w:hint="eastAsia" w:ascii="仿宋" w:hAnsi="仿宋" w:eastAsia="仿宋"/>
          <w:color w:val="FF0000"/>
          <w:sz w:val="32"/>
          <w:szCs w:val="32"/>
        </w:rPr>
        <w:t>*</w:t>
      </w:r>
      <w:r>
        <w:rPr>
          <w:rFonts w:hint="eastAsia" w:ascii="仿宋_GB2312" w:hAnsi="仿宋_GB2312" w:eastAsia="仿宋_GB2312" w:cs="仿宋_GB2312"/>
          <w:sz w:val="32"/>
          <w:szCs w:val="32"/>
          <w:lang w:val="en-US" w:eastAsia="zh-CN"/>
        </w:rPr>
        <w:t>的信息项，都是必填项。</w:t>
      </w:r>
    </w:p>
    <w:p>
      <w:pPr>
        <w:rPr>
          <w:rFonts w:hint="eastAsia" w:ascii="仿宋_GB2312" w:hAnsi="仿宋_GB2312" w:eastAsia="仿宋_GB2312" w:cs="仿宋_GB2312"/>
          <w:sz w:val="32"/>
          <w:szCs w:val="32"/>
          <w:lang w:val="en-US" w:eastAsia="zh-CN"/>
        </w:rPr>
      </w:pPr>
      <w:r>
        <w:rPr>
          <w:rFonts w:hint="eastAsia" w:ascii="仿宋" w:hAnsi="仿宋" w:eastAsia="仿宋"/>
          <w:color w:val="FF0000"/>
          <w:sz w:val="32"/>
          <w:szCs w:val="32"/>
        </w:rPr>
        <w:t>*</w:t>
      </w:r>
      <w:r>
        <w:rPr>
          <w:rFonts w:hint="eastAsia" w:ascii="仿宋_GB2312" w:hAnsi="仿宋_GB2312" w:eastAsia="仿宋_GB2312" w:cs="仿宋_GB2312"/>
          <w:b/>
          <w:bCs/>
          <w:sz w:val="32"/>
          <w:szCs w:val="32"/>
          <w:lang w:val="en-US" w:eastAsia="zh-CN"/>
        </w:rPr>
        <w:t>报名类型和对接部门的填写说明：</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名类型，单位根据对接情况，从市直部门对接、区县对接、自行报名三个类型中自选其一；如果报名类型选择市直部门对接，对接部门请在市委金融办、市发展改革委、市教育局、市科技局、市工业和信息化局、市司法局、市财政局、市人力资源社会保障局、市农业农村局、市文化和旅游局、市卫生健康委、市国资委中选择；如果选择区县对接和自行报名，对接部门请在历下区、市中区、槐荫区、天桥区、历城区、长清区、章丘区、济阳区、莱芜区、钢城区、平阴县、商河县、高新区、南部山区、起步区中选择。</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示例，如果单位是市委金融办对接邀约的，那么报名类型选择市直部门对接，对接部门选择市委金融办；如果单位是历下区对接邀约的，那么报名类型选择区县对接，对接部门选择历下区；如果单位是自行报名的，那么报名类型选择自行报名，对接部门选择单位所在区县。</w:t>
      </w:r>
    </w:p>
    <w:p>
      <w:r>
        <w:drawing>
          <wp:inline distT="0" distB="0" distL="114300" distR="114300">
            <wp:extent cx="5499735" cy="1382395"/>
            <wp:effectExtent l="0" t="0" r="1905"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499735" cy="1382395"/>
                    </a:xfrm>
                    <a:prstGeom prst="rect">
                      <a:avLst/>
                    </a:prstGeom>
                    <a:noFill/>
                    <a:ln>
                      <a:noFill/>
                    </a:ln>
                  </pic:spPr>
                </pic:pic>
              </a:graphicData>
            </a:graphic>
          </wp:inline>
        </w:drawing>
      </w:r>
    </w:p>
    <w:p>
      <w:r>
        <w:drawing>
          <wp:inline distT="0" distB="0" distL="114300" distR="114300">
            <wp:extent cx="5502910" cy="1308100"/>
            <wp:effectExtent l="0" t="0" r="1397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502910" cy="1308100"/>
                    </a:xfrm>
                    <a:prstGeom prst="rect">
                      <a:avLst/>
                    </a:prstGeom>
                    <a:noFill/>
                    <a:ln>
                      <a:noFill/>
                    </a:ln>
                  </pic:spPr>
                </pic:pic>
              </a:graphicData>
            </a:graphic>
          </wp:inline>
        </w:drawing>
      </w:r>
    </w:p>
    <w:p>
      <w:r>
        <w:drawing>
          <wp:inline distT="0" distB="0" distL="114300" distR="114300">
            <wp:extent cx="5503545" cy="1610995"/>
            <wp:effectExtent l="0" t="0" r="13335"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503545" cy="161099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报名类型和对接部门的信息在单位提交的岗位信息被初审部门审核通过后锁定，锁定后无法变更。</w:t>
      </w:r>
    </w:p>
    <w:p>
      <w:pPr>
        <w:rPr>
          <w:rFonts w:hint="eastAsia" w:ascii="仿宋_GB2312" w:hAnsi="仿宋_GB2312" w:eastAsia="仿宋_GB2312" w:cs="仿宋_GB2312"/>
          <w:b/>
          <w:bCs/>
          <w:sz w:val="32"/>
          <w:szCs w:val="32"/>
          <w:lang w:val="en-US" w:eastAsia="zh-CN"/>
        </w:rPr>
      </w:pPr>
      <w:r>
        <w:rPr>
          <w:rFonts w:hint="eastAsia" w:ascii="仿宋" w:hAnsi="仿宋" w:eastAsia="仿宋"/>
          <w:color w:val="FF0000"/>
          <w:sz w:val="32"/>
          <w:szCs w:val="32"/>
        </w:rPr>
        <w:t>*</w:t>
      </w:r>
      <w:r>
        <w:rPr>
          <w:rFonts w:hint="eastAsia" w:ascii="仿宋_GB2312" w:hAnsi="仿宋_GB2312" w:eastAsia="仿宋_GB2312" w:cs="仿宋_GB2312"/>
          <w:b/>
          <w:bCs/>
          <w:sz w:val="32"/>
          <w:szCs w:val="32"/>
          <w:lang w:val="en-US" w:eastAsia="zh-CN"/>
        </w:rPr>
        <w:t>单位类型和单位级别的选择说明：</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单位类型包括金融机构、重点项目、教育机构、新型研发机构、科研院所、事业单位、医疗机构、国有企业、民营企业等，请根据需要填写；单位级别请单位负责人据实选择。</w:t>
      </w:r>
    </w:p>
    <w:p>
      <w:r>
        <w:drawing>
          <wp:inline distT="0" distB="0" distL="0" distR="0">
            <wp:extent cx="5511800" cy="1093470"/>
            <wp:effectExtent l="0" t="0" r="12700" b="11430"/>
            <wp:docPr id="1120615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5546" name="图片 1"/>
                    <pic:cNvPicPr>
                      <a:picLocks noChangeAspect="1"/>
                    </pic:cNvPicPr>
                  </pic:nvPicPr>
                  <pic:blipFill>
                    <a:blip r:embed="rId15"/>
                    <a:stretch>
                      <a:fillRect/>
                    </a:stretch>
                  </pic:blipFill>
                  <pic:spPr>
                    <a:xfrm>
                      <a:off x="0" y="0"/>
                      <a:ext cx="5511800" cy="1093470"/>
                    </a:xfrm>
                    <a:prstGeom prst="rect">
                      <a:avLst/>
                    </a:prstGeom>
                  </pic:spPr>
                </pic:pic>
              </a:graphicData>
            </a:graphic>
          </wp:inline>
        </w:drawing>
      </w:r>
    </w:p>
    <w:p>
      <w:pPr>
        <w:rPr>
          <w:rFonts w:hint="eastAsia" w:ascii="仿宋_GB2312" w:hAnsi="仿宋_GB2312" w:eastAsia="仿宋_GB2312" w:cs="仿宋_GB2312"/>
          <w:b/>
          <w:bCs/>
          <w:sz w:val="32"/>
          <w:szCs w:val="32"/>
          <w:lang w:val="en-US" w:eastAsia="zh-CN"/>
        </w:rPr>
      </w:pPr>
      <w:r>
        <w:rPr>
          <w:rFonts w:hint="eastAsia" w:ascii="仿宋" w:hAnsi="仿宋" w:eastAsia="仿宋"/>
          <w:color w:val="FF0000"/>
          <w:sz w:val="32"/>
          <w:szCs w:val="32"/>
        </w:rPr>
        <w:t>*</w:t>
      </w:r>
      <w:r>
        <w:rPr>
          <w:rFonts w:hint="eastAsia" w:ascii="仿宋_GB2312" w:hAnsi="仿宋_GB2312" w:eastAsia="仿宋_GB2312" w:cs="仿宋_GB2312"/>
          <w:b/>
          <w:bCs/>
          <w:sz w:val="32"/>
          <w:szCs w:val="32"/>
          <w:lang w:val="en-US" w:eastAsia="zh-CN"/>
        </w:rPr>
        <w:t>所属专区填报说明：</w:t>
      </w:r>
    </w:p>
    <w:p>
      <w:pPr>
        <w:ind w:firstLine="640" w:firstLineChars="200"/>
        <w:rPr>
          <w:rFonts w:hint="eastAsia" w:eastAsia="仿宋_GB2312" w:cs="Times New Roman"/>
          <w:sz w:val="32"/>
          <w:szCs w:val="32"/>
          <w:highlight w:val="none"/>
          <w:lang w:val="en-US" w:eastAsia="zh-CN"/>
        </w:rPr>
      </w:pPr>
      <w:r>
        <w:rPr>
          <w:rFonts w:hint="eastAsia" w:ascii="仿宋_GB2312" w:hAnsi="仿宋_GB2312" w:eastAsia="仿宋_GB2312" w:cs="仿宋_GB2312"/>
          <w:sz w:val="32"/>
          <w:szCs w:val="32"/>
          <w:lang w:val="en-US" w:eastAsia="zh-CN"/>
        </w:rPr>
        <w:t>招引大会共设置十六个招引专区：</w:t>
      </w:r>
      <w:r>
        <w:rPr>
          <w:rFonts w:hint="default" w:ascii="Times New Roman" w:hAnsi="Times New Roman" w:eastAsia="仿宋_GB2312" w:cs="Times New Roman"/>
          <w:b w:val="0"/>
          <w:bCs w:val="0"/>
          <w:sz w:val="32"/>
          <w:szCs w:val="32"/>
          <w:highlight w:val="none"/>
          <w:lang w:val="en-US" w:eastAsia="zh-CN"/>
        </w:rPr>
        <w:t>①事业单位，②博士与海外人才，③人工智能与空天信息，④电子信息产业，⑤智能制造、高端数控机床与机器人产业，⑥汽车、新能源装备与专用装备产业，⑦现代医药与高端医疗产业，⑧食品与生物制造产业，⑨钢铁与先进材料产业，⑩现代服务业，⑪教育与文化产业，⑫金融行业，⑬现代农业与乡村振兴，⑭技能人才，⑮济青人才高质量发展轴带与济南都市圈</w:t>
      </w:r>
      <w:r>
        <w:rPr>
          <w:rFonts w:hint="eastAsia" w:eastAsia="仿宋_GB2312" w:cs="Times New Roman"/>
          <w:b w:val="0"/>
          <w:bCs w:val="0"/>
          <w:sz w:val="32"/>
          <w:szCs w:val="32"/>
          <w:highlight w:val="none"/>
          <w:lang w:val="en-US" w:eastAsia="zh-CN"/>
        </w:rPr>
        <w:t>，</w:t>
      </w:r>
      <w:r>
        <w:rPr>
          <w:rFonts w:hint="eastAsia" w:ascii="微软雅黑" w:hAnsi="微软雅黑" w:eastAsia="微软雅黑" w:cs="微软雅黑"/>
          <w:b w:val="0"/>
          <w:bCs w:val="0"/>
          <w:sz w:val="32"/>
          <w:szCs w:val="32"/>
          <w:highlight w:val="none"/>
          <w:lang w:val="en-US" w:eastAsia="zh-CN"/>
        </w:rPr>
        <w:t>⑯</w:t>
      </w:r>
      <w:r>
        <w:rPr>
          <w:rFonts w:hint="default" w:ascii="Times New Roman" w:hAnsi="Times New Roman" w:eastAsia="仿宋_GB2312" w:cs="Times New Roman"/>
          <w:sz w:val="32"/>
          <w:szCs w:val="32"/>
          <w:highlight w:val="none"/>
          <w:lang w:val="en-US" w:eastAsia="zh-CN"/>
        </w:rPr>
        <w:t>B</w:t>
      </w:r>
      <w:r>
        <w:rPr>
          <w:rFonts w:hint="eastAsia" w:ascii="Times New Roman" w:hAnsi="Times New Roman" w:eastAsia="仿宋_GB2312" w:cs="Times New Roman"/>
          <w:sz w:val="32"/>
          <w:szCs w:val="32"/>
          <w:highlight w:val="none"/>
          <w:lang w:val="en-US" w:eastAsia="zh-CN"/>
        </w:rPr>
        <w:t>oss优选</w:t>
      </w:r>
      <w:r>
        <w:rPr>
          <w:rFonts w:hint="eastAsia" w:eastAsia="仿宋_GB2312" w:cs="Times New Roman"/>
          <w:sz w:val="32"/>
          <w:szCs w:val="32"/>
          <w:highlight w:val="none"/>
          <w:lang w:val="en-US" w:eastAsia="zh-CN"/>
        </w:rPr>
        <w:t>（</w:t>
      </w:r>
      <w:r>
        <w:rPr>
          <w:rFonts w:hint="eastAsia" w:ascii="楷体_GB2312" w:hAnsi="楷体_GB2312" w:eastAsia="楷体_GB2312" w:cs="楷体_GB2312"/>
          <w:sz w:val="32"/>
          <w:szCs w:val="32"/>
          <w:highlight w:val="none"/>
          <w:lang w:val="en-US" w:eastAsia="zh-CN"/>
        </w:rPr>
        <w:t>该专区聚焦“企业高管与人才直接对接”，减少招聘中间环节，提升高端人才与企业的匹配效率。拟邀请30家重点企业负责人或人事总监等高管现场开展“一对一”深度洽谈，涵盖技术研发、管理运营、核心业务等高端岗位</w:t>
      </w:r>
      <w:r>
        <w:rPr>
          <w:rFonts w:hint="eastAsia" w:eastAsia="仿宋_GB2312" w:cs="Times New Roman"/>
          <w:sz w:val="32"/>
          <w:szCs w:val="32"/>
          <w:highlight w:val="none"/>
          <w:lang w:val="en-US" w:eastAsia="zh-CN"/>
        </w:rPr>
        <w:t>）</w:t>
      </w:r>
    </w:p>
    <w:p>
      <w:pPr>
        <w:ind w:firstLine="640" w:firstLineChars="200"/>
        <w:rPr>
          <w:rFonts w:ascii="仿宋" w:hAnsi="仿宋" w:eastAsia="仿宋"/>
          <w:sz w:val="32"/>
          <w:szCs w:val="32"/>
          <w:highlight w:val="yellow"/>
        </w:rPr>
      </w:pPr>
      <w:r>
        <w:rPr>
          <w:rFonts w:hint="eastAsia" w:ascii="仿宋_GB2312" w:hAnsi="仿宋_GB2312" w:eastAsia="仿宋_GB2312" w:cs="仿宋_GB2312"/>
          <w:color w:val="auto"/>
          <w:sz w:val="32"/>
          <w:szCs w:val="32"/>
          <w:highlight w:val="none"/>
        </w:rPr>
        <w:t>每个参会单位应选择1个专区，如有多招引专区需求的可以根据实际情况选择，最多选择</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个，最终专区设置部分单位会根据实际情况进行调整，单位联系人请在大会开始前注意查看专区调整短信通知。</w:t>
      </w:r>
      <w:r>
        <w:rPr>
          <w:rFonts w:hint="eastAsia" w:ascii="Times New Roman" w:hAnsi="Times New Roman" w:eastAsia="仿宋_GB2312" w:cs="Times New Roman"/>
          <w:b/>
          <w:bCs/>
          <w:color w:val="auto"/>
          <w:sz w:val="32"/>
          <w:szCs w:val="32"/>
          <w:highlight w:val="none"/>
          <w:lang w:val="en-US" w:eastAsia="zh-CN"/>
        </w:rPr>
        <w:t>用人单位需</w:t>
      </w:r>
      <w:r>
        <w:rPr>
          <w:rFonts w:hint="eastAsia" w:eastAsia="仿宋_GB2312" w:cs="Times New Roman"/>
          <w:b/>
          <w:bCs/>
          <w:color w:val="auto"/>
          <w:sz w:val="32"/>
          <w:szCs w:val="32"/>
          <w:highlight w:val="none"/>
          <w:lang w:val="en-US" w:eastAsia="zh-CN"/>
        </w:rPr>
        <w:t>根据专区展位</w:t>
      </w:r>
      <w:r>
        <w:rPr>
          <w:rFonts w:hint="eastAsia" w:eastAsia="仿宋_GB2312" w:cs="Times New Roman"/>
          <w:b/>
          <w:bCs/>
          <w:sz w:val="32"/>
          <w:szCs w:val="32"/>
          <w:highlight w:val="none"/>
          <w:lang w:val="en-US" w:eastAsia="zh-CN"/>
        </w:rPr>
        <w:t>数，</w:t>
      </w:r>
      <w:r>
        <w:rPr>
          <w:rFonts w:hint="eastAsia" w:ascii="Times New Roman" w:hAnsi="Times New Roman" w:eastAsia="仿宋_GB2312" w:cs="Times New Roman"/>
          <w:b/>
          <w:bCs/>
          <w:sz w:val="32"/>
          <w:szCs w:val="32"/>
          <w:highlight w:val="none"/>
          <w:lang w:val="en-US" w:eastAsia="zh-CN"/>
        </w:rPr>
        <w:t>安排专人现场解答求职问题，并接收简历</w:t>
      </w:r>
      <w:r>
        <w:rPr>
          <w:rFonts w:hint="eastAsia" w:eastAsia="仿宋_GB2312" w:cs="Times New Roman"/>
          <w:b/>
          <w:bCs/>
          <w:sz w:val="32"/>
          <w:szCs w:val="32"/>
          <w:highlight w:val="none"/>
          <w:lang w:val="en-US" w:eastAsia="zh-CN"/>
        </w:rPr>
        <w:t>。</w:t>
      </w:r>
    </w:p>
    <w:p>
      <w:pPr>
        <w:rPr>
          <w:rFonts w:hint="eastAsia" w:ascii="仿宋_GB2312" w:hAnsi="仿宋_GB2312" w:eastAsia="仿宋_GB2312" w:cs="仿宋_GB2312"/>
          <w:sz w:val="32"/>
          <w:szCs w:val="32"/>
        </w:rPr>
      </w:pPr>
      <w:r>
        <w:rPr>
          <w:rFonts w:hint="eastAsia" w:ascii="仿宋" w:hAnsi="仿宋" w:eastAsia="仿宋"/>
          <w:color w:val="FF0000"/>
          <w:sz w:val="32"/>
          <w:szCs w:val="32"/>
        </w:rPr>
        <w:t>*</w:t>
      </w:r>
      <w:r>
        <w:rPr>
          <w:rFonts w:hint="eastAsia" w:ascii="仿宋_GB2312" w:hAnsi="仿宋_GB2312" w:eastAsia="仿宋_GB2312" w:cs="仿宋_GB2312"/>
          <w:sz w:val="32"/>
          <w:szCs w:val="32"/>
        </w:rPr>
        <w:t>单位联系人，填写联系人姓名或称呼，如张某某，李老师，王经理；</w:t>
      </w:r>
    </w:p>
    <w:p>
      <w:pPr>
        <w:rPr>
          <w:rFonts w:hint="eastAsia" w:ascii="仿宋_GB2312" w:hAnsi="仿宋_GB2312" w:eastAsia="仿宋_GB2312" w:cs="仿宋_GB2312"/>
          <w:sz w:val="32"/>
          <w:szCs w:val="32"/>
        </w:rPr>
      </w:pPr>
      <w:r>
        <w:rPr>
          <w:rFonts w:hint="eastAsia" w:ascii="仿宋" w:hAnsi="仿宋" w:eastAsia="仿宋"/>
          <w:color w:val="FF0000"/>
          <w:sz w:val="32"/>
          <w:szCs w:val="32"/>
        </w:rPr>
        <w:t>*</w:t>
      </w:r>
      <w:r>
        <w:rPr>
          <w:rFonts w:hint="eastAsia" w:ascii="仿宋_GB2312" w:hAnsi="仿宋_GB2312" w:eastAsia="仿宋_GB2312" w:cs="仿宋_GB2312"/>
          <w:sz w:val="32"/>
          <w:szCs w:val="32"/>
        </w:rPr>
        <w:t>单位联系人职务，填写单位联系人职务，如人力资源主管，人事处主任；</w:t>
      </w:r>
    </w:p>
    <w:p>
      <w:pPr>
        <w:rPr>
          <w:rFonts w:hint="eastAsia" w:ascii="仿宋_GB2312" w:hAnsi="仿宋_GB2312" w:eastAsia="仿宋_GB2312" w:cs="仿宋_GB2312"/>
          <w:sz w:val="32"/>
          <w:szCs w:val="32"/>
        </w:rPr>
      </w:pPr>
      <w:r>
        <w:rPr>
          <w:rFonts w:hint="eastAsia" w:ascii="仿宋" w:hAnsi="仿宋" w:eastAsia="仿宋"/>
          <w:color w:val="FF0000"/>
          <w:sz w:val="32"/>
          <w:szCs w:val="32"/>
        </w:rPr>
        <w:t>*</w:t>
      </w:r>
      <w:r>
        <w:rPr>
          <w:rFonts w:hint="eastAsia" w:ascii="仿宋_GB2312" w:hAnsi="仿宋_GB2312" w:eastAsia="仿宋_GB2312" w:cs="仿宋_GB2312"/>
          <w:sz w:val="32"/>
          <w:szCs w:val="32"/>
        </w:rPr>
        <w:t>单位联系人电话，需填写单位联系人手机号码；</w:t>
      </w:r>
    </w:p>
    <w:p>
      <w:pPr>
        <w:rPr>
          <w:rFonts w:hint="eastAsia" w:ascii="仿宋_GB2312" w:hAnsi="仿宋_GB2312" w:eastAsia="仿宋_GB2312" w:cs="仿宋_GB2312"/>
          <w:sz w:val="32"/>
          <w:szCs w:val="32"/>
        </w:rPr>
      </w:pPr>
      <w:r>
        <w:rPr>
          <w:rFonts w:hint="eastAsia" w:ascii="仿宋" w:hAnsi="仿宋" w:eastAsia="仿宋"/>
          <w:color w:val="FF0000"/>
          <w:sz w:val="32"/>
          <w:szCs w:val="32"/>
        </w:rPr>
        <w:t>*</w:t>
      </w:r>
      <w:r>
        <w:rPr>
          <w:rFonts w:hint="eastAsia" w:ascii="仿宋_GB2312" w:hAnsi="仿宋_GB2312" w:eastAsia="仿宋_GB2312" w:cs="仿宋_GB2312"/>
          <w:sz w:val="32"/>
          <w:szCs w:val="32"/>
        </w:rPr>
        <w:t>单位邮箱，需填写单位人事部门的邮箱；</w:t>
      </w:r>
    </w:p>
    <w:p>
      <w:pPr>
        <w:rPr>
          <w:rFonts w:hint="default" w:ascii="仿宋_GB2312" w:hAnsi="仿宋_GB2312" w:eastAsia="仿宋_GB2312" w:cs="仿宋_GB2312"/>
          <w:sz w:val="32"/>
          <w:szCs w:val="32"/>
          <w:lang w:val="en-US" w:eastAsia="zh-CN"/>
        </w:rPr>
      </w:pPr>
      <w:r>
        <w:rPr>
          <w:rFonts w:hint="eastAsia" w:ascii="仿宋" w:hAnsi="仿宋" w:eastAsia="仿宋"/>
          <w:color w:val="FF0000"/>
          <w:sz w:val="32"/>
          <w:szCs w:val="32"/>
        </w:rPr>
        <w:t>*</w:t>
      </w:r>
      <w:r>
        <w:rPr>
          <w:rFonts w:hint="eastAsia" w:ascii="仿宋_GB2312" w:hAnsi="仿宋_GB2312" w:eastAsia="仿宋_GB2312" w:cs="仿宋_GB2312"/>
          <w:sz w:val="32"/>
          <w:szCs w:val="32"/>
        </w:rPr>
        <w:t>单位介绍：简单介绍单位的名称、成立时间、发展历程、主要业务范围和职能、人员规模和团队情况、发展规划和目标以及合作伙伴和客户群体等情况。需至少填写150字（含标点符号），少于150字无法保存，最多填写250字（含标点符号），超过250字部分会被忽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请大家填写时注意结尾语义是否完整。</w:t>
      </w:r>
    </w:p>
    <w:p>
      <w:pPr>
        <w:rPr>
          <w:rFonts w:hint="eastAsia"/>
        </w:rPr>
      </w:pPr>
      <w:r>
        <w:drawing>
          <wp:inline distT="0" distB="0" distL="114300" distR="114300">
            <wp:extent cx="5511165" cy="1697355"/>
            <wp:effectExtent l="0" t="0" r="5715" b="952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6"/>
                    <a:stretch>
                      <a:fillRect/>
                    </a:stretch>
                  </pic:blipFill>
                  <pic:spPr>
                    <a:xfrm>
                      <a:off x="0" y="0"/>
                      <a:ext cx="5511165" cy="1697355"/>
                    </a:xfrm>
                    <a:prstGeom prst="rect">
                      <a:avLst/>
                    </a:prstGeom>
                    <a:noFill/>
                    <a:ln>
                      <a:noFill/>
                    </a:ln>
                  </pic:spPr>
                </pic:pic>
              </a:graphicData>
            </a:graphic>
          </wp:inline>
        </w:drawing>
      </w:r>
    </w:p>
    <w:p>
      <w:pPr>
        <w:spacing w:line="600" w:lineRule="exact"/>
        <w:ind w:firstLine="640" w:firstLineChars="200"/>
        <w:rPr>
          <w:rFonts w:ascii="楷体" w:hAnsi="楷体" w:eastAsia="楷体"/>
          <w:sz w:val="32"/>
        </w:rPr>
      </w:pPr>
      <w:r>
        <w:rPr>
          <w:rFonts w:hint="eastAsia" w:ascii="楷体" w:hAnsi="楷体" w:eastAsia="楷体"/>
          <w:sz w:val="32"/>
        </w:rPr>
        <w:t>（二）职位信息维护</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职位信息维护包括职位信息新增、提交初审、职位数据导出功能。填写完成的职位信息默认是草稿状态，在草稿状态下，职位信息可以进行修改、删除；提交后职位信息不可编辑。如果审核过程中被驳回，职位信息需按照审核信息提示修改后再次提交审核。</w:t>
      </w:r>
    </w:p>
    <w:p>
      <w:r>
        <w:drawing>
          <wp:inline distT="0" distB="0" distL="114300" distR="114300">
            <wp:extent cx="5504180" cy="2583815"/>
            <wp:effectExtent l="0" t="0" r="12700" b="698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5504180" cy="258381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职位信息填写，带有</w:t>
      </w:r>
      <w:r>
        <w:rPr>
          <w:rFonts w:hint="eastAsia" w:ascii="仿宋" w:hAnsi="仿宋" w:eastAsia="仿宋"/>
          <w:color w:val="FF0000"/>
          <w:sz w:val="32"/>
          <w:szCs w:val="32"/>
        </w:rPr>
        <w:t>*</w:t>
      </w:r>
      <w:r>
        <w:rPr>
          <w:rFonts w:hint="eastAsia" w:ascii="仿宋_GB2312" w:hAnsi="仿宋_GB2312" w:eastAsia="仿宋_GB2312" w:cs="仿宋_GB2312"/>
          <w:sz w:val="32"/>
          <w:szCs w:val="32"/>
          <w:lang w:val="en-US" w:eastAsia="zh-CN"/>
        </w:rPr>
        <w:t>的信息项为必填项，每一个信息项请按照提示要求填写。</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如下图所示：</w:t>
      </w:r>
    </w:p>
    <w:p>
      <w:pPr>
        <w:jc w:val="center"/>
        <w:rPr>
          <w:rFonts w:ascii="仿宋" w:hAnsi="仿宋" w:eastAsia="仿宋"/>
          <w:sz w:val="32"/>
          <w:szCs w:val="32"/>
        </w:rPr>
      </w:pPr>
      <w:r>
        <w:rPr>
          <w:rFonts w:ascii="仿宋" w:hAnsi="仿宋" w:eastAsia="仿宋"/>
          <w:sz w:val="32"/>
          <w:szCs w:val="32"/>
        </w:rPr>
        <w:drawing>
          <wp:inline distT="0" distB="0" distL="114300" distR="114300">
            <wp:extent cx="4882515" cy="6529705"/>
            <wp:effectExtent l="0" t="0" r="13335" b="444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8"/>
                    <a:stretch>
                      <a:fillRect/>
                    </a:stretch>
                  </pic:blipFill>
                  <pic:spPr>
                    <a:xfrm>
                      <a:off x="0" y="0"/>
                      <a:ext cx="4882515" cy="6529705"/>
                    </a:xfrm>
                    <a:prstGeom prst="rect">
                      <a:avLst/>
                    </a:prstGeom>
                    <a:noFill/>
                    <a:ln>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内容填写完后，点击保存，职位信息将显示在列表中，状态为草稿。</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提交初审操作：选择草稿状态的数据提交初审；对驳回至单位的数据按照审核意见修改后保存，提交至初审。</w:t>
      </w:r>
    </w:p>
    <w:p>
      <w:pPr>
        <w:spacing w:line="600" w:lineRule="exact"/>
        <w:ind w:firstLine="640" w:firstLineChars="200"/>
        <w:rPr>
          <w:rFonts w:ascii="楷体" w:hAnsi="楷体" w:eastAsia="楷体"/>
          <w:sz w:val="32"/>
        </w:rPr>
      </w:pPr>
      <w:r>
        <w:rPr>
          <w:rFonts w:hint="eastAsia" w:ascii="楷体" w:hAnsi="楷体" w:eastAsia="楷体"/>
          <w:sz w:val="32"/>
        </w:rPr>
        <w:t>（三）统计信息</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统计信息展示的是单位提交的岗位数量及审核状态，如下图所示：</w:t>
      </w:r>
    </w:p>
    <w:p>
      <w:r>
        <w:drawing>
          <wp:inline distT="0" distB="0" distL="114300" distR="114300">
            <wp:extent cx="5506720" cy="552450"/>
            <wp:effectExtent l="0" t="0" r="10160" b="1143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9"/>
                    <a:stretch>
                      <a:fillRect/>
                    </a:stretch>
                  </pic:blipFill>
                  <pic:spPr>
                    <a:xfrm>
                      <a:off x="0" y="0"/>
                      <a:ext cx="5506720" cy="552450"/>
                    </a:xfrm>
                    <a:prstGeom prst="rect">
                      <a:avLst/>
                    </a:prstGeom>
                    <a:noFill/>
                    <a:ln>
                      <a:noFill/>
                    </a:ln>
                  </pic:spPr>
                </pic:pic>
              </a:graphicData>
            </a:graphic>
          </wp:inline>
        </w:drawing>
      </w:r>
    </w:p>
    <w:sectPr>
      <w:pgSz w:w="11906" w:h="16838"/>
      <w:pgMar w:top="1701" w:right="1474"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24CD06-CDDE-475E-B60B-15E856FB71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B3A3224A-78FD-41AB-BAAD-83F72D20723B}"/>
  </w:font>
  <w:font w:name="微软雅黑">
    <w:panose1 w:val="020B0503020204020204"/>
    <w:charset w:val="86"/>
    <w:family w:val="auto"/>
    <w:pitch w:val="default"/>
    <w:sig w:usb0="80000287" w:usb1="2ACF3C50" w:usb2="00000016" w:usb3="00000000" w:csb0="0004001F" w:csb1="00000000"/>
    <w:embedRegular r:id="rId3" w:fontKey="{887E51A6-B0BD-4A0C-B38D-A1A07E3335C0}"/>
  </w:font>
  <w:font w:name="方正大标宋简体">
    <w:panose1 w:val="02000000000000000000"/>
    <w:charset w:val="86"/>
    <w:family w:val="auto"/>
    <w:pitch w:val="default"/>
    <w:sig w:usb0="A00002BF" w:usb1="184F6CFA" w:usb2="00000012" w:usb3="00000000" w:csb0="00040001" w:csb1="00000000"/>
    <w:embedRegular r:id="rId4" w:fontKey="{6F6D96CB-316C-482D-9DF8-F9E289CB23E1}"/>
  </w:font>
  <w:font w:name="仿宋">
    <w:panose1 w:val="02010609060101010101"/>
    <w:charset w:val="86"/>
    <w:family w:val="modern"/>
    <w:pitch w:val="default"/>
    <w:sig w:usb0="800002BF" w:usb1="38CF7CFA" w:usb2="00000016" w:usb3="00000000" w:csb0="00040001" w:csb1="00000000"/>
    <w:embedRegular r:id="rId5" w:fontKey="{66E6C4CF-A633-40E3-A2D0-F9BFCAEBD9F8}"/>
  </w:font>
  <w:font w:name="楷体">
    <w:panose1 w:val="02010609060101010101"/>
    <w:charset w:val="86"/>
    <w:family w:val="modern"/>
    <w:pitch w:val="default"/>
    <w:sig w:usb0="800002BF" w:usb1="38CF7CFA" w:usb2="00000016" w:usb3="00000000" w:csb0="00040001" w:csb1="00000000"/>
    <w:embedRegular r:id="rId6" w:fontKey="{89EA1990-7321-467E-96C2-98F17E6E21B6}"/>
  </w:font>
  <w:font w:name="楷体_GB2312">
    <w:panose1 w:val="02010609030101010101"/>
    <w:charset w:val="86"/>
    <w:family w:val="auto"/>
    <w:pitch w:val="default"/>
    <w:sig w:usb0="00000001" w:usb1="080E0000" w:usb2="00000000" w:usb3="00000000" w:csb0="00040000" w:csb1="00000000"/>
    <w:embedRegular r:id="rId7" w:fontKey="{B13FBC07-4442-4F2A-A4DA-45FD267FCB68}"/>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yODVkMzIwMDMyNjNhYzI2ZjQ5ZGFiYTUxYjVkNzYifQ=="/>
  </w:docVars>
  <w:rsids>
    <w:rsidRoot w:val="00F253CC"/>
    <w:rsid w:val="001570FF"/>
    <w:rsid w:val="00191DAF"/>
    <w:rsid w:val="0030729A"/>
    <w:rsid w:val="003E401A"/>
    <w:rsid w:val="007E6196"/>
    <w:rsid w:val="008A69CD"/>
    <w:rsid w:val="008E0B2A"/>
    <w:rsid w:val="00924B75"/>
    <w:rsid w:val="009868F3"/>
    <w:rsid w:val="00A5212B"/>
    <w:rsid w:val="00A64AF8"/>
    <w:rsid w:val="00BD05C9"/>
    <w:rsid w:val="00C51C62"/>
    <w:rsid w:val="00E7220F"/>
    <w:rsid w:val="00ED2FBC"/>
    <w:rsid w:val="00F15A1B"/>
    <w:rsid w:val="00F253CC"/>
    <w:rsid w:val="01437C9C"/>
    <w:rsid w:val="01A63F4A"/>
    <w:rsid w:val="01E44757"/>
    <w:rsid w:val="0328539C"/>
    <w:rsid w:val="049820AD"/>
    <w:rsid w:val="04B2316F"/>
    <w:rsid w:val="04C64E6C"/>
    <w:rsid w:val="0504394D"/>
    <w:rsid w:val="072E5B69"/>
    <w:rsid w:val="080737D2"/>
    <w:rsid w:val="0885397E"/>
    <w:rsid w:val="08D8516E"/>
    <w:rsid w:val="090E0B90"/>
    <w:rsid w:val="09866978"/>
    <w:rsid w:val="0B0B1EE7"/>
    <w:rsid w:val="0B886FB7"/>
    <w:rsid w:val="0BE34A57"/>
    <w:rsid w:val="0C41302A"/>
    <w:rsid w:val="0C930926"/>
    <w:rsid w:val="0CFC1621"/>
    <w:rsid w:val="0D802482"/>
    <w:rsid w:val="107B4D5D"/>
    <w:rsid w:val="11B30526"/>
    <w:rsid w:val="12B66A42"/>
    <w:rsid w:val="12DB5F87"/>
    <w:rsid w:val="135F2AD1"/>
    <w:rsid w:val="13A66595"/>
    <w:rsid w:val="14D7452C"/>
    <w:rsid w:val="14F70ED6"/>
    <w:rsid w:val="151C5F27"/>
    <w:rsid w:val="15363948"/>
    <w:rsid w:val="1539724D"/>
    <w:rsid w:val="17BFE138"/>
    <w:rsid w:val="17D31922"/>
    <w:rsid w:val="18891FE1"/>
    <w:rsid w:val="19C239FC"/>
    <w:rsid w:val="1A402B73"/>
    <w:rsid w:val="1AA12B7A"/>
    <w:rsid w:val="1ADC289C"/>
    <w:rsid w:val="1C4A1A87"/>
    <w:rsid w:val="1CE617B0"/>
    <w:rsid w:val="1CEC2B3E"/>
    <w:rsid w:val="1D70551D"/>
    <w:rsid w:val="1E636E30"/>
    <w:rsid w:val="1ECC2C27"/>
    <w:rsid w:val="20360CA0"/>
    <w:rsid w:val="20653333"/>
    <w:rsid w:val="20E548A4"/>
    <w:rsid w:val="21F93D33"/>
    <w:rsid w:val="224C47AB"/>
    <w:rsid w:val="22A3029F"/>
    <w:rsid w:val="22B7201E"/>
    <w:rsid w:val="233A4603"/>
    <w:rsid w:val="2360160D"/>
    <w:rsid w:val="247B1771"/>
    <w:rsid w:val="262EBEDE"/>
    <w:rsid w:val="265E75E5"/>
    <w:rsid w:val="26981E89"/>
    <w:rsid w:val="27532FCF"/>
    <w:rsid w:val="27D75B9B"/>
    <w:rsid w:val="28A677C6"/>
    <w:rsid w:val="2A5D507B"/>
    <w:rsid w:val="2A924D25"/>
    <w:rsid w:val="2C22032B"/>
    <w:rsid w:val="2C5D6A63"/>
    <w:rsid w:val="2D296C36"/>
    <w:rsid w:val="2D894811"/>
    <w:rsid w:val="2DB66F7C"/>
    <w:rsid w:val="2DB96A6D"/>
    <w:rsid w:val="2F2443BA"/>
    <w:rsid w:val="2F392F2C"/>
    <w:rsid w:val="2F634EE2"/>
    <w:rsid w:val="2FA94F0B"/>
    <w:rsid w:val="30A61F4B"/>
    <w:rsid w:val="311B114B"/>
    <w:rsid w:val="32FB554B"/>
    <w:rsid w:val="3371722A"/>
    <w:rsid w:val="346C65E7"/>
    <w:rsid w:val="349679F6"/>
    <w:rsid w:val="34A2025B"/>
    <w:rsid w:val="362A49AB"/>
    <w:rsid w:val="38033706"/>
    <w:rsid w:val="390361AD"/>
    <w:rsid w:val="393A3157"/>
    <w:rsid w:val="3A1534F3"/>
    <w:rsid w:val="3A9B7360"/>
    <w:rsid w:val="3BF033E5"/>
    <w:rsid w:val="3C461E13"/>
    <w:rsid w:val="3C8363D2"/>
    <w:rsid w:val="3D4A2A4B"/>
    <w:rsid w:val="3E1F46CA"/>
    <w:rsid w:val="3E2D17A5"/>
    <w:rsid w:val="3F165B32"/>
    <w:rsid w:val="3F1E2BD3"/>
    <w:rsid w:val="3FB2B7A6"/>
    <w:rsid w:val="3FE9FCF7"/>
    <w:rsid w:val="40454F35"/>
    <w:rsid w:val="43193DDE"/>
    <w:rsid w:val="43AE65B8"/>
    <w:rsid w:val="445A06D3"/>
    <w:rsid w:val="45DE1F80"/>
    <w:rsid w:val="4633495D"/>
    <w:rsid w:val="46982D7E"/>
    <w:rsid w:val="48E7672C"/>
    <w:rsid w:val="492359B6"/>
    <w:rsid w:val="49A60395"/>
    <w:rsid w:val="4A3E3519"/>
    <w:rsid w:val="4AE662A3"/>
    <w:rsid w:val="4B005883"/>
    <w:rsid w:val="4D357A66"/>
    <w:rsid w:val="4DF371EA"/>
    <w:rsid w:val="4F1550AC"/>
    <w:rsid w:val="4F806F93"/>
    <w:rsid w:val="50C80BF1"/>
    <w:rsid w:val="511A0272"/>
    <w:rsid w:val="51E732F9"/>
    <w:rsid w:val="523A78CD"/>
    <w:rsid w:val="52734B8D"/>
    <w:rsid w:val="53AE0572"/>
    <w:rsid w:val="53C42426"/>
    <w:rsid w:val="559571BF"/>
    <w:rsid w:val="57C32112"/>
    <w:rsid w:val="5A44578C"/>
    <w:rsid w:val="5A5C4C20"/>
    <w:rsid w:val="5AE2145E"/>
    <w:rsid w:val="5AE64A95"/>
    <w:rsid w:val="5B6BC08D"/>
    <w:rsid w:val="5C886978"/>
    <w:rsid w:val="5F8B3515"/>
    <w:rsid w:val="5FFF114F"/>
    <w:rsid w:val="605423C2"/>
    <w:rsid w:val="615F4C5A"/>
    <w:rsid w:val="629E7A04"/>
    <w:rsid w:val="63E2436F"/>
    <w:rsid w:val="6568412A"/>
    <w:rsid w:val="658C051B"/>
    <w:rsid w:val="65FD2C93"/>
    <w:rsid w:val="666B39EF"/>
    <w:rsid w:val="667E5B82"/>
    <w:rsid w:val="66C33EDD"/>
    <w:rsid w:val="66F26570"/>
    <w:rsid w:val="6817003C"/>
    <w:rsid w:val="68A5389A"/>
    <w:rsid w:val="690330BB"/>
    <w:rsid w:val="690B005C"/>
    <w:rsid w:val="692E0A88"/>
    <w:rsid w:val="69FF6FDA"/>
    <w:rsid w:val="6D490077"/>
    <w:rsid w:val="6E1D223F"/>
    <w:rsid w:val="6E274D51"/>
    <w:rsid w:val="6E6E472E"/>
    <w:rsid w:val="6FFD220E"/>
    <w:rsid w:val="70AE175A"/>
    <w:rsid w:val="716F0EE9"/>
    <w:rsid w:val="71B608C6"/>
    <w:rsid w:val="72807126"/>
    <w:rsid w:val="728D0230"/>
    <w:rsid w:val="761B100E"/>
    <w:rsid w:val="7715608F"/>
    <w:rsid w:val="7AA53BCD"/>
    <w:rsid w:val="7AD81C1A"/>
    <w:rsid w:val="7AFC51B0"/>
    <w:rsid w:val="7BB0282A"/>
    <w:rsid w:val="7BBD2D6F"/>
    <w:rsid w:val="7BF344C5"/>
    <w:rsid w:val="7C353137"/>
    <w:rsid w:val="7CB354BA"/>
    <w:rsid w:val="7CEBDCBF"/>
    <w:rsid w:val="7D2232B3"/>
    <w:rsid w:val="7DA939D5"/>
    <w:rsid w:val="7E5449BB"/>
    <w:rsid w:val="7EAA17B2"/>
    <w:rsid w:val="7EC36FDD"/>
    <w:rsid w:val="7FBF303C"/>
    <w:rsid w:val="93F5478B"/>
    <w:rsid w:val="AFBF4E39"/>
    <w:rsid w:val="B11FCB96"/>
    <w:rsid w:val="BBFFD151"/>
    <w:rsid w:val="BEDE0275"/>
    <w:rsid w:val="D6AEDDD4"/>
    <w:rsid w:val="F33B86AE"/>
    <w:rsid w:val="F4FB29B0"/>
    <w:rsid w:val="FAD9A2B3"/>
    <w:rsid w:val="FBF7A983"/>
    <w:rsid w:val="FD7BDEB5"/>
    <w:rsid w:val="FF36731F"/>
    <w:rsid w:val="FFF9A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3"/>
    <w:basedOn w:val="1"/>
    <w:next w:val="1"/>
    <w:qFormat/>
    <w:uiPriority w:val="0"/>
    <w:pPr>
      <w:keepNext/>
      <w:keepLines/>
      <w:spacing w:before="260" w:after="260" w:line="413" w:lineRule="auto"/>
      <w:outlineLvl w:val="2"/>
    </w:pPr>
    <w:rPr>
      <w:b/>
      <w:sz w:val="24"/>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qFormat/>
    <w:uiPriority w:val="0"/>
    <w:rPr>
      <w:color w:val="0026E5" w:themeColor="hyperlink"/>
      <w:u w:val="single"/>
      <w14:textFill>
        <w14:solidFill>
          <w14:schemeClr w14:val="hlink"/>
        </w14:solidFill>
      </w14:textFill>
    </w:rPr>
  </w:style>
  <w:style w:type="character" w:customStyle="1" w:styleId="8">
    <w:name w:val="未处理的提及1"/>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2005</Words>
  <Characters>2044</Characters>
  <Lines>12</Lines>
  <Paragraphs>3</Paragraphs>
  <TotalTime>31</TotalTime>
  <ScaleCrop>false</ScaleCrop>
  <LinksUpToDate>false</LinksUpToDate>
  <CharactersWithSpaces>2044</CharactersWithSpaces>
  <Application>WPS Office_12.8.2.15091_F1E327BC-269C-435d-A152-05C5408002CA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2024-06-15T01:11:00Z</dcterms:created>
  <dc:creator>Jock</dc:creator>
  <cp:lastModifiedBy>wps</cp:lastModifiedBy>
  <cp:lastPrinted>2025-07-03T05:09:00Z</cp:lastPrinted>
  <dcterms:modified xsi:type="dcterms:W3CDTF">2026-01-22T02:25:44Z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2052-12.8.2.15091</vt:lpwstr>
  </property>
  <property fmtid="{D5CDD505-2E9C-101B-9397-08002B2CF9AE}" pid="3" name="ICV">
    <vt:lpwstr>64BF549123AA4446987DF7ED7EF769DA_13</vt:lpwstr>
  </property>
  <property fmtid="{D5CDD505-2E9C-101B-9397-08002B2CF9AE}" pid="4" name="KSOTemplateDocerSaveRecord">
    <vt:lpwstr>eyJoZGlkIjoiZTFjOTk1NzczYTg3Yzg3NDcwYzk2NWQyNmYyOTdiNGYiLCJ1c2VySWQiOiIyMjk2NjkwMTMifQ==</vt:lpwstr>
  </property>
</Properties>
</file>